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1758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</w:p>
    <w:p w14:paraId="1D5C8854" w14:textId="77777777" w:rsidR="00A12282" w:rsidRPr="00A12282" w:rsidRDefault="00A12282" w:rsidP="007811BD">
      <w:pPr>
        <w:jc w:val="center"/>
        <w:rPr>
          <w:rFonts w:ascii="Candara" w:hAnsi="Candara"/>
          <w:b/>
          <w:bCs/>
          <w:sz w:val="36"/>
          <w:szCs w:val="36"/>
          <w:lang w:val="en-001"/>
        </w:rPr>
      </w:pPr>
      <w:r w:rsidRPr="00A12282">
        <w:rPr>
          <w:rFonts w:ascii="Candara" w:hAnsi="Candara"/>
          <w:b/>
          <w:bCs/>
          <w:sz w:val="36"/>
          <w:szCs w:val="36"/>
          <w:lang w:val="en-001"/>
        </w:rPr>
        <w:t>POLITIKA ČUVANJA I UNIŠTAVANJA DOKUMENTACIJE</w:t>
      </w:r>
    </w:p>
    <w:p w14:paraId="09A07673" w14:textId="77777777" w:rsidR="00A12282" w:rsidRPr="00A12282" w:rsidRDefault="00A12282" w:rsidP="007811BD">
      <w:pPr>
        <w:jc w:val="center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(Records Retention and Destruction Policy)</w:t>
      </w:r>
    </w:p>
    <w:p w14:paraId="6BECD5A5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</w:p>
    <w:p w14:paraId="77CD10CB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Verzija: 1.0</w:t>
      </w:r>
    </w:p>
    <w:p w14:paraId="110A2207" w14:textId="0AD2DFE5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 xml:space="preserve">Datum donošenja: </w:t>
      </w:r>
      <w:r w:rsidR="007811BD">
        <w:rPr>
          <w:rFonts w:ascii="Candara" w:hAnsi="Candara"/>
          <w:lang w:val="en-001"/>
        </w:rPr>
        <w:t>2.1.2026</w:t>
      </w:r>
    </w:p>
    <w:p w14:paraId="4CC817C5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Vlasnik dokumenta: Direktor / Data Protection Coordinator</w:t>
      </w:r>
    </w:p>
    <w:p w14:paraId="3344C75E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Klasifikacija: Interno</w:t>
      </w:r>
    </w:p>
    <w:p w14:paraId="70A14314" w14:textId="56E3FEF9" w:rsidR="00A12282" w:rsidRPr="00A12282" w:rsidRDefault="00A12282" w:rsidP="00A12282">
      <w:pPr>
        <w:jc w:val="both"/>
        <w:rPr>
          <w:rFonts w:ascii="Candara" w:hAnsi="Candara"/>
          <w:lang w:val="en-001"/>
        </w:rPr>
      </w:pPr>
    </w:p>
    <w:p w14:paraId="75973F9D" w14:textId="77777777" w:rsidR="00A12282" w:rsidRPr="00A12282" w:rsidRDefault="00A12282" w:rsidP="00A12282">
      <w:pPr>
        <w:jc w:val="both"/>
        <w:rPr>
          <w:rFonts w:ascii="Candara" w:hAnsi="Candara"/>
          <w:b/>
          <w:bCs/>
          <w:lang w:val="en-001"/>
        </w:rPr>
      </w:pPr>
      <w:r w:rsidRPr="00A12282">
        <w:rPr>
          <w:rFonts w:ascii="Candara" w:hAnsi="Candara"/>
          <w:b/>
          <w:bCs/>
          <w:lang w:val="en-001"/>
        </w:rPr>
        <w:t>1. UVOD</w:t>
      </w:r>
    </w:p>
    <w:p w14:paraId="58520103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COOPERANTE d.o.o. (u daljnjem tekstu: Društvo) obvezuje se poslovati u skladu s važećim propisima o zaštiti osobnih podataka, uključujući:</w:t>
      </w:r>
    </w:p>
    <w:p w14:paraId="5CFDBBD6" w14:textId="77777777" w:rsidR="00A12282" w:rsidRPr="00A12282" w:rsidRDefault="00A12282" w:rsidP="00A12282">
      <w:pPr>
        <w:numPr>
          <w:ilvl w:val="0"/>
          <w:numId w:val="7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Opću uredbu o zaštiti podataka (EU) 2016/679 (GDPR)</w:t>
      </w:r>
    </w:p>
    <w:p w14:paraId="0D1BE23A" w14:textId="77777777" w:rsidR="00A12282" w:rsidRPr="00A12282" w:rsidRDefault="00A12282" w:rsidP="00A12282">
      <w:pPr>
        <w:numPr>
          <w:ilvl w:val="0"/>
          <w:numId w:val="7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Zakon o provedbi GDPR-a</w:t>
      </w:r>
    </w:p>
    <w:p w14:paraId="01C28A9D" w14:textId="77777777" w:rsidR="00A12282" w:rsidRPr="00A12282" w:rsidRDefault="00A12282" w:rsidP="00A12282">
      <w:pPr>
        <w:numPr>
          <w:ilvl w:val="0"/>
          <w:numId w:val="7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druge relevantne nacionalne i EU propise</w:t>
      </w:r>
    </w:p>
    <w:p w14:paraId="1F4C5DB6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</w:p>
    <w:p w14:paraId="3721DDB3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Direktor Društva osigurava kontinuiranu i učinkovitu provedbu ove Politike te očekuje isto od svih zaposlenika, vanjskih suradnika i izvršitelja obrade.</w:t>
      </w:r>
    </w:p>
    <w:p w14:paraId="09F02B0A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Kršenje ove Politike može rezultirati:</w:t>
      </w:r>
    </w:p>
    <w:p w14:paraId="5DAFC9CA" w14:textId="77777777" w:rsidR="00A12282" w:rsidRPr="00A12282" w:rsidRDefault="00A12282" w:rsidP="00A12282">
      <w:pPr>
        <w:numPr>
          <w:ilvl w:val="0"/>
          <w:numId w:val="8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disciplinskim mjerama</w:t>
      </w:r>
    </w:p>
    <w:p w14:paraId="3BDD3C33" w14:textId="77777777" w:rsidR="00A12282" w:rsidRPr="00A12282" w:rsidRDefault="00A12282" w:rsidP="00A12282">
      <w:pPr>
        <w:numPr>
          <w:ilvl w:val="0"/>
          <w:numId w:val="8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raskidom suradnje</w:t>
      </w:r>
    </w:p>
    <w:p w14:paraId="315B46FF" w14:textId="77777777" w:rsidR="00A12282" w:rsidRPr="00A12282" w:rsidRDefault="00A12282" w:rsidP="00A12282">
      <w:pPr>
        <w:numPr>
          <w:ilvl w:val="0"/>
          <w:numId w:val="8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poslovnim sankcijama</w:t>
      </w:r>
    </w:p>
    <w:p w14:paraId="15BF6FA5" w14:textId="77777777" w:rsidR="00A12282" w:rsidRPr="00A12282" w:rsidRDefault="00A12282" w:rsidP="00A12282">
      <w:pPr>
        <w:numPr>
          <w:ilvl w:val="0"/>
          <w:numId w:val="8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materijalnom odgovornošću</w:t>
      </w:r>
    </w:p>
    <w:p w14:paraId="4741FBE9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</w:p>
    <w:p w14:paraId="4969F31C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Ovom Politikom uređuju se pravila vezana uz:</w:t>
      </w:r>
    </w:p>
    <w:p w14:paraId="00A04E5F" w14:textId="77777777" w:rsidR="00A12282" w:rsidRPr="00A12282" w:rsidRDefault="00A12282" w:rsidP="00A12282">
      <w:pPr>
        <w:numPr>
          <w:ilvl w:val="0"/>
          <w:numId w:val="9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prikupljanje</w:t>
      </w:r>
    </w:p>
    <w:p w14:paraId="20EB33C8" w14:textId="77777777" w:rsidR="00A12282" w:rsidRPr="00A12282" w:rsidRDefault="00A12282" w:rsidP="00A12282">
      <w:pPr>
        <w:numPr>
          <w:ilvl w:val="0"/>
          <w:numId w:val="9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korištenje</w:t>
      </w:r>
    </w:p>
    <w:p w14:paraId="7A2E4C02" w14:textId="77777777" w:rsidR="00A12282" w:rsidRPr="00A12282" w:rsidRDefault="00A12282" w:rsidP="00A12282">
      <w:pPr>
        <w:numPr>
          <w:ilvl w:val="0"/>
          <w:numId w:val="9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pohranu</w:t>
      </w:r>
    </w:p>
    <w:p w14:paraId="5D26D196" w14:textId="77777777" w:rsidR="00A12282" w:rsidRPr="00A12282" w:rsidRDefault="00A12282" w:rsidP="00A12282">
      <w:pPr>
        <w:numPr>
          <w:ilvl w:val="0"/>
          <w:numId w:val="9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prijenos</w:t>
      </w:r>
    </w:p>
    <w:p w14:paraId="35435C75" w14:textId="77777777" w:rsidR="00A12282" w:rsidRPr="00A12282" w:rsidRDefault="00A12282" w:rsidP="00A12282">
      <w:pPr>
        <w:numPr>
          <w:ilvl w:val="0"/>
          <w:numId w:val="9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arhiviranje</w:t>
      </w:r>
    </w:p>
    <w:p w14:paraId="743EBCBB" w14:textId="77777777" w:rsidR="00A12282" w:rsidRPr="00A12282" w:rsidRDefault="00A12282" w:rsidP="00A12282">
      <w:pPr>
        <w:numPr>
          <w:ilvl w:val="0"/>
          <w:numId w:val="9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uništavanje</w:t>
      </w:r>
    </w:p>
    <w:p w14:paraId="6A8053BC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svih osobnih podataka i poslovne dokumentacije koju Društvo obrađuje.</w:t>
      </w:r>
    </w:p>
    <w:p w14:paraId="15D500DE" w14:textId="77777777" w:rsidR="00E47AFB" w:rsidRDefault="00E47AFB" w:rsidP="00A12282">
      <w:pPr>
        <w:jc w:val="both"/>
        <w:rPr>
          <w:rFonts w:ascii="Candara" w:hAnsi="Candara"/>
          <w:lang w:val="en-001"/>
        </w:rPr>
      </w:pPr>
    </w:p>
    <w:p w14:paraId="5C40E2B8" w14:textId="2F6376E5" w:rsidR="00A12282" w:rsidRPr="00A12282" w:rsidRDefault="00A12282" w:rsidP="00A12282">
      <w:pPr>
        <w:jc w:val="both"/>
        <w:rPr>
          <w:rFonts w:ascii="Candara" w:hAnsi="Candara"/>
          <w:b/>
          <w:bCs/>
          <w:lang w:val="en-001"/>
        </w:rPr>
      </w:pPr>
      <w:r w:rsidRPr="00A12282">
        <w:rPr>
          <w:rFonts w:ascii="Candara" w:hAnsi="Candara"/>
          <w:b/>
          <w:bCs/>
          <w:lang w:val="en-001"/>
        </w:rPr>
        <w:t>2. OPSEG</w:t>
      </w:r>
    </w:p>
    <w:p w14:paraId="69C6C899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</w:p>
    <w:p w14:paraId="0A0A9770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Ova Politika primjenjuje se na:</w:t>
      </w:r>
    </w:p>
    <w:p w14:paraId="53604ED8" w14:textId="77777777" w:rsidR="00A12282" w:rsidRPr="00A12282" w:rsidRDefault="00A12282" w:rsidP="00A12282">
      <w:pPr>
        <w:numPr>
          <w:ilvl w:val="0"/>
          <w:numId w:val="10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sve osobne podatke kandidata za zapošljavanje</w:t>
      </w:r>
    </w:p>
    <w:p w14:paraId="30BDA649" w14:textId="77777777" w:rsidR="00A12282" w:rsidRPr="00A12282" w:rsidRDefault="00A12282" w:rsidP="00A12282">
      <w:pPr>
        <w:numPr>
          <w:ilvl w:val="0"/>
          <w:numId w:val="10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podatke ustupljenih radnika</w:t>
      </w:r>
    </w:p>
    <w:p w14:paraId="76A114FC" w14:textId="77777777" w:rsidR="00A12282" w:rsidRPr="00A12282" w:rsidRDefault="00A12282" w:rsidP="00A12282">
      <w:pPr>
        <w:numPr>
          <w:ilvl w:val="0"/>
          <w:numId w:val="10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podatke zaposlenika Društva</w:t>
      </w:r>
    </w:p>
    <w:p w14:paraId="1CAEF8EA" w14:textId="77777777" w:rsidR="00A12282" w:rsidRPr="00A12282" w:rsidRDefault="00A12282" w:rsidP="00A12282">
      <w:pPr>
        <w:numPr>
          <w:ilvl w:val="0"/>
          <w:numId w:val="10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podatke klijenata i kontakt osoba</w:t>
      </w:r>
    </w:p>
    <w:p w14:paraId="7F8FFC1A" w14:textId="77777777" w:rsidR="00A12282" w:rsidRPr="00A12282" w:rsidRDefault="00A12282" w:rsidP="00A12282">
      <w:pPr>
        <w:numPr>
          <w:ilvl w:val="0"/>
          <w:numId w:val="10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podatke poslovnih partnera i dobavljača</w:t>
      </w:r>
    </w:p>
    <w:p w14:paraId="51C75C24" w14:textId="77777777" w:rsidR="00A12282" w:rsidRPr="00A12282" w:rsidRDefault="00A12282" w:rsidP="00A12282">
      <w:pPr>
        <w:numPr>
          <w:ilvl w:val="0"/>
          <w:numId w:val="10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svu poslovnu dokumentaciju nastalu u okviru djelatnosti posredovanja pri zapošljavanju</w:t>
      </w:r>
    </w:p>
    <w:p w14:paraId="6826C417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</w:p>
    <w:p w14:paraId="4C506E52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Politika se odnosi na:</w:t>
      </w:r>
    </w:p>
    <w:p w14:paraId="44A51189" w14:textId="77777777" w:rsidR="00A12282" w:rsidRPr="00A12282" w:rsidRDefault="00A12282" w:rsidP="00A12282">
      <w:pPr>
        <w:numPr>
          <w:ilvl w:val="0"/>
          <w:numId w:val="11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elektroničke zapise (Microsoft 365, ATS sustav, e-mail, cloud)</w:t>
      </w:r>
    </w:p>
    <w:p w14:paraId="0B9EA098" w14:textId="77777777" w:rsidR="00A12282" w:rsidRPr="00A12282" w:rsidRDefault="00A12282" w:rsidP="00A12282">
      <w:pPr>
        <w:numPr>
          <w:ilvl w:val="0"/>
          <w:numId w:val="11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mobilne komunikacijske aplikacije (ako se koriste u poslovne svrhe)</w:t>
      </w:r>
    </w:p>
    <w:p w14:paraId="5F83A94E" w14:textId="77777777" w:rsidR="00A12282" w:rsidRPr="00A12282" w:rsidRDefault="00A12282" w:rsidP="00A12282">
      <w:pPr>
        <w:numPr>
          <w:ilvl w:val="0"/>
          <w:numId w:val="11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papirnatu dokumentaciju</w:t>
      </w:r>
    </w:p>
    <w:p w14:paraId="5902F71E" w14:textId="77777777" w:rsidR="00A12282" w:rsidRPr="00A12282" w:rsidRDefault="00A12282" w:rsidP="00A12282">
      <w:pPr>
        <w:numPr>
          <w:ilvl w:val="0"/>
          <w:numId w:val="11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sigurnosne kopije (backup)</w:t>
      </w:r>
    </w:p>
    <w:p w14:paraId="6071689D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Društvo primarno koristi cloud sustave te nema vlastitu serversku infrastrukturu.</w:t>
      </w:r>
    </w:p>
    <w:p w14:paraId="73F6AF96" w14:textId="77777777" w:rsidR="00E47AFB" w:rsidRDefault="00E47AFB" w:rsidP="00A12282">
      <w:pPr>
        <w:jc w:val="both"/>
        <w:rPr>
          <w:rFonts w:ascii="Candara" w:hAnsi="Candara"/>
          <w:b/>
          <w:bCs/>
          <w:lang w:val="en-001"/>
        </w:rPr>
      </w:pPr>
    </w:p>
    <w:p w14:paraId="6CADDA8C" w14:textId="41B5BBE9" w:rsidR="00A12282" w:rsidRPr="00A12282" w:rsidRDefault="00A12282" w:rsidP="00A12282">
      <w:pPr>
        <w:jc w:val="both"/>
        <w:rPr>
          <w:rFonts w:ascii="Candara" w:hAnsi="Candara"/>
          <w:b/>
          <w:bCs/>
          <w:lang w:val="en-001"/>
        </w:rPr>
      </w:pPr>
      <w:r w:rsidRPr="00A12282">
        <w:rPr>
          <w:rFonts w:ascii="Candara" w:hAnsi="Candara"/>
          <w:b/>
          <w:bCs/>
          <w:lang w:val="en-001"/>
        </w:rPr>
        <w:t>3. SVRHA</w:t>
      </w:r>
    </w:p>
    <w:p w14:paraId="04600864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Svrha ove Politike je:</w:t>
      </w:r>
    </w:p>
    <w:p w14:paraId="732EA79C" w14:textId="77777777" w:rsidR="00A12282" w:rsidRPr="00A12282" w:rsidRDefault="00A12282" w:rsidP="00A12282">
      <w:pPr>
        <w:numPr>
          <w:ilvl w:val="0"/>
          <w:numId w:val="12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osigurati zakonito i razmjerno čuvanje dokumentacije</w:t>
      </w:r>
    </w:p>
    <w:p w14:paraId="5FE11038" w14:textId="77777777" w:rsidR="00A12282" w:rsidRPr="00A12282" w:rsidRDefault="00A12282" w:rsidP="00A12282">
      <w:pPr>
        <w:numPr>
          <w:ilvl w:val="0"/>
          <w:numId w:val="12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spriječiti prekomjerno zadržavanje podataka</w:t>
      </w:r>
    </w:p>
    <w:p w14:paraId="58381A9F" w14:textId="77777777" w:rsidR="00A12282" w:rsidRPr="00A12282" w:rsidRDefault="00A12282" w:rsidP="00A12282">
      <w:pPr>
        <w:numPr>
          <w:ilvl w:val="0"/>
          <w:numId w:val="12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smanjiti rizik od sigurnosnih incidenata</w:t>
      </w:r>
    </w:p>
    <w:p w14:paraId="7B621D46" w14:textId="77777777" w:rsidR="00A12282" w:rsidRPr="00A12282" w:rsidRDefault="00A12282" w:rsidP="00A12282">
      <w:pPr>
        <w:numPr>
          <w:ilvl w:val="0"/>
          <w:numId w:val="12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osigurati pravovremeno i sigurno uništavanje podataka</w:t>
      </w:r>
    </w:p>
    <w:p w14:paraId="7E0A0C9F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</w:p>
    <w:p w14:paraId="273646C0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Politika osigurava:</w:t>
      </w:r>
    </w:p>
    <w:p w14:paraId="6844EE91" w14:textId="77777777" w:rsidR="00A12282" w:rsidRPr="00A12282" w:rsidRDefault="00A12282" w:rsidP="00A12282">
      <w:pPr>
        <w:numPr>
          <w:ilvl w:val="0"/>
          <w:numId w:val="13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sustavni pregled dokumentacije</w:t>
      </w:r>
    </w:p>
    <w:p w14:paraId="37812112" w14:textId="77777777" w:rsidR="00A12282" w:rsidRPr="00A12282" w:rsidRDefault="00A12282" w:rsidP="00A12282">
      <w:pPr>
        <w:numPr>
          <w:ilvl w:val="0"/>
          <w:numId w:val="13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definiranje rokova čuvanja</w:t>
      </w:r>
    </w:p>
    <w:p w14:paraId="6FDE74B2" w14:textId="77777777" w:rsidR="00A12282" w:rsidRPr="00A12282" w:rsidRDefault="00A12282" w:rsidP="00A12282">
      <w:pPr>
        <w:numPr>
          <w:ilvl w:val="0"/>
          <w:numId w:val="13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jasno definirane metode uništavanja</w:t>
      </w:r>
    </w:p>
    <w:p w14:paraId="442FC39B" w14:textId="77777777" w:rsidR="00A12282" w:rsidRPr="00A12282" w:rsidRDefault="00A12282" w:rsidP="00A12282">
      <w:pPr>
        <w:numPr>
          <w:ilvl w:val="0"/>
          <w:numId w:val="13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usklađenost s načelom ograničenja pohrane (GDPR čl. 5)</w:t>
      </w:r>
    </w:p>
    <w:p w14:paraId="776FDD35" w14:textId="7D73B3D9" w:rsidR="00A12282" w:rsidRPr="00A12282" w:rsidRDefault="00A12282" w:rsidP="00A12282">
      <w:pPr>
        <w:jc w:val="both"/>
        <w:rPr>
          <w:rFonts w:ascii="Candara" w:hAnsi="Candara"/>
          <w:lang w:val="en-001"/>
        </w:rPr>
      </w:pPr>
    </w:p>
    <w:p w14:paraId="19863A89" w14:textId="77777777" w:rsidR="00A12282" w:rsidRPr="00A12282" w:rsidRDefault="00A12282" w:rsidP="00A12282">
      <w:pPr>
        <w:jc w:val="both"/>
        <w:rPr>
          <w:rFonts w:ascii="Candara" w:hAnsi="Candara"/>
          <w:b/>
          <w:bCs/>
          <w:lang w:val="en-001"/>
        </w:rPr>
      </w:pPr>
      <w:r w:rsidRPr="00A12282">
        <w:rPr>
          <w:rFonts w:ascii="Candara" w:hAnsi="Candara"/>
          <w:b/>
          <w:bCs/>
          <w:lang w:val="en-001"/>
        </w:rPr>
        <w:t>4. UPRAVLJANJE I ODGOVORNOST</w:t>
      </w:r>
    </w:p>
    <w:p w14:paraId="61331816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</w:p>
    <w:p w14:paraId="4F4B8DD4" w14:textId="25E41A57" w:rsidR="00A12282" w:rsidRPr="00A12282" w:rsidRDefault="00A12282" w:rsidP="00E47AFB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Prilog A ove Politike sadrži Tablicu rokova čuvanja dokumentacije.</w:t>
      </w:r>
      <w:r w:rsidR="00E47AFB">
        <w:rPr>
          <w:rFonts w:ascii="Candara" w:hAnsi="Candara"/>
          <w:lang w:val="en-001"/>
        </w:rPr>
        <w:t xml:space="preserve"> </w:t>
      </w:r>
      <w:r w:rsidRPr="00A12282">
        <w:rPr>
          <w:rFonts w:ascii="Candara" w:hAnsi="Candara"/>
          <w:lang w:val="en-001"/>
        </w:rPr>
        <w:t>Dokumentacija koja nije izričito navedena, ali je slične naravi, čuva se onoliko dugo koliko je nužno za ostvarenje svrhe obrade, ali ne dulje od zakonskog roka.</w:t>
      </w:r>
    </w:p>
    <w:p w14:paraId="44DD7B4B" w14:textId="77777777" w:rsidR="00E47AFB" w:rsidRDefault="00E47AFB" w:rsidP="00A12282">
      <w:pPr>
        <w:jc w:val="both"/>
        <w:rPr>
          <w:rFonts w:ascii="Candara" w:hAnsi="Candara"/>
          <w:b/>
          <w:bCs/>
          <w:lang w:val="en-001"/>
        </w:rPr>
      </w:pPr>
    </w:p>
    <w:p w14:paraId="3715D3C3" w14:textId="3DD8E532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Data Protection Coordinator odgovoran je za:</w:t>
      </w:r>
    </w:p>
    <w:p w14:paraId="5B69BD6D" w14:textId="77777777" w:rsidR="00A12282" w:rsidRPr="00A12282" w:rsidRDefault="00A12282" w:rsidP="00A12282">
      <w:pPr>
        <w:numPr>
          <w:ilvl w:val="0"/>
          <w:numId w:val="14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provedbu ove Politike</w:t>
      </w:r>
    </w:p>
    <w:p w14:paraId="0294D36C" w14:textId="77777777" w:rsidR="00A12282" w:rsidRPr="00A12282" w:rsidRDefault="00A12282" w:rsidP="00A12282">
      <w:pPr>
        <w:numPr>
          <w:ilvl w:val="0"/>
          <w:numId w:val="14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praćenje zakonskih promjena</w:t>
      </w:r>
    </w:p>
    <w:p w14:paraId="227F7B07" w14:textId="77777777" w:rsidR="00A12282" w:rsidRPr="00A12282" w:rsidRDefault="00A12282" w:rsidP="00A12282">
      <w:pPr>
        <w:numPr>
          <w:ilvl w:val="0"/>
          <w:numId w:val="14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godišnji pregled rokova čuvanja</w:t>
      </w:r>
    </w:p>
    <w:p w14:paraId="0F9F7624" w14:textId="77777777" w:rsidR="00A12282" w:rsidRPr="00A12282" w:rsidRDefault="00A12282" w:rsidP="00A12282">
      <w:pPr>
        <w:numPr>
          <w:ilvl w:val="0"/>
          <w:numId w:val="14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nadzor nad uništavanjem dokumentacije</w:t>
      </w:r>
    </w:p>
    <w:p w14:paraId="73840F34" w14:textId="77777777" w:rsidR="00A12282" w:rsidRPr="00A12282" w:rsidRDefault="00A12282" w:rsidP="00A12282">
      <w:pPr>
        <w:numPr>
          <w:ilvl w:val="0"/>
          <w:numId w:val="14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osiguranje usklađenosti s GDPR-om</w:t>
      </w:r>
    </w:p>
    <w:p w14:paraId="2C482CB6" w14:textId="7FCFB4B3" w:rsidR="00A12282" w:rsidRPr="00A12282" w:rsidRDefault="00A12282" w:rsidP="00A12282">
      <w:pPr>
        <w:jc w:val="both"/>
        <w:rPr>
          <w:rFonts w:ascii="Candara" w:hAnsi="Candara"/>
          <w:lang w:val="en-001"/>
        </w:rPr>
      </w:pPr>
    </w:p>
    <w:p w14:paraId="67E80E78" w14:textId="77777777" w:rsidR="00A12282" w:rsidRPr="00A12282" w:rsidRDefault="00A12282" w:rsidP="00A12282">
      <w:pPr>
        <w:jc w:val="both"/>
        <w:rPr>
          <w:rFonts w:ascii="Candara" w:hAnsi="Candara"/>
          <w:b/>
          <w:bCs/>
          <w:lang w:val="en-001"/>
        </w:rPr>
      </w:pPr>
      <w:r w:rsidRPr="00A12282">
        <w:rPr>
          <w:rFonts w:ascii="Candara" w:hAnsi="Candara"/>
          <w:b/>
          <w:bCs/>
          <w:lang w:val="en-001"/>
        </w:rPr>
        <w:t>5. ELEKTRONIČKI DOKUMENTI</w:t>
      </w:r>
    </w:p>
    <w:p w14:paraId="1FE6B75F" w14:textId="281B7EBC" w:rsidR="00A12282" w:rsidRPr="00A12282" w:rsidRDefault="00A12282" w:rsidP="00E47AFB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Elektronička dokumentacija čuva se sukladno istim rokovima kao i papirnata dokumentacija.</w:t>
      </w:r>
      <w:r w:rsidR="00E47AFB">
        <w:rPr>
          <w:rFonts w:ascii="Candara" w:hAnsi="Candara"/>
          <w:lang w:val="en-001"/>
        </w:rPr>
        <w:t xml:space="preserve"> </w:t>
      </w:r>
      <w:r w:rsidRPr="00A12282">
        <w:rPr>
          <w:rFonts w:ascii="Candara" w:hAnsi="Candara"/>
          <w:lang w:val="en-001"/>
        </w:rPr>
        <w:t>Obuhvaća:</w:t>
      </w:r>
    </w:p>
    <w:p w14:paraId="71157D58" w14:textId="77777777" w:rsidR="00A12282" w:rsidRPr="00A12282" w:rsidRDefault="00A12282" w:rsidP="00A12282">
      <w:pPr>
        <w:numPr>
          <w:ilvl w:val="0"/>
          <w:numId w:val="15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e-mail komunikaciju</w:t>
      </w:r>
    </w:p>
    <w:p w14:paraId="60767DE5" w14:textId="77777777" w:rsidR="00A12282" w:rsidRPr="00A12282" w:rsidRDefault="00A12282" w:rsidP="00A12282">
      <w:pPr>
        <w:numPr>
          <w:ilvl w:val="0"/>
          <w:numId w:val="15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dokumente u Microsoft 365</w:t>
      </w:r>
    </w:p>
    <w:p w14:paraId="3CC8ADCE" w14:textId="77777777" w:rsidR="00A12282" w:rsidRPr="00A12282" w:rsidRDefault="00A12282" w:rsidP="00A12282">
      <w:pPr>
        <w:numPr>
          <w:ilvl w:val="0"/>
          <w:numId w:val="15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ATS zapise</w:t>
      </w:r>
    </w:p>
    <w:p w14:paraId="79C09C16" w14:textId="77777777" w:rsidR="00A12282" w:rsidRPr="00A12282" w:rsidRDefault="00A12282" w:rsidP="00A12282">
      <w:pPr>
        <w:numPr>
          <w:ilvl w:val="0"/>
          <w:numId w:val="15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PDF dokumente</w:t>
      </w:r>
    </w:p>
    <w:p w14:paraId="6D30F98A" w14:textId="77777777" w:rsidR="00A12282" w:rsidRPr="00A12282" w:rsidRDefault="00A12282" w:rsidP="00A12282">
      <w:pPr>
        <w:numPr>
          <w:ilvl w:val="0"/>
          <w:numId w:val="15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tekstualne, audio i video datoteke</w:t>
      </w:r>
    </w:p>
    <w:p w14:paraId="5FBA822F" w14:textId="278FD7D6" w:rsidR="00A12282" w:rsidRPr="00A12282" w:rsidRDefault="00A12282" w:rsidP="0046123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E-mail se smatra poslovnom dokumentacijom</w:t>
      </w:r>
      <w:r w:rsidR="00461232">
        <w:rPr>
          <w:rFonts w:ascii="Candara" w:hAnsi="Candara"/>
          <w:lang w:val="en-001"/>
        </w:rPr>
        <w:t xml:space="preserve"> </w:t>
      </w:r>
      <w:r w:rsidRPr="00A12282">
        <w:rPr>
          <w:rFonts w:ascii="Candara" w:hAnsi="Candara"/>
          <w:lang w:val="en-001"/>
        </w:rPr>
        <w:t>Društvo ne briše automatski dokumentaciju izvan rokova definiranih ovom Politikom.</w:t>
      </w:r>
    </w:p>
    <w:p w14:paraId="3F52812E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lastRenderedPageBreak/>
        <w:t>Zaposlenici su dužni:</w:t>
      </w:r>
    </w:p>
    <w:p w14:paraId="5B329242" w14:textId="77777777" w:rsidR="00A12282" w:rsidRPr="00A12282" w:rsidRDefault="00A12282" w:rsidP="00A12282">
      <w:pPr>
        <w:numPr>
          <w:ilvl w:val="0"/>
          <w:numId w:val="16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pohranjivati dokumente isključivo u službene sustave</w:t>
      </w:r>
    </w:p>
    <w:p w14:paraId="3E21D1EE" w14:textId="77777777" w:rsidR="00A12282" w:rsidRPr="00A12282" w:rsidRDefault="00A12282" w:rsidP="00A12282">
      <w:pPr>
        <w:numPr>
          <w:ilvl w:val="0"/>
          <w:numId w:val="16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ne čuvati dokumentaciju trajno u chat aplikacijama</w:t>
      </w:r>
    </w:p>
    <w:p w14:paraId="327F7D24" w14:textId="77777777" w:rsidR="00A12282" w:rsidRPr="00A12282" w:rsidRDefault="00A12282" w:rsidP="00A12282">
      <w:pPr>
        <w:numPr>
          <w:ilvl w:val="0"/>
          <w:numId w:val="16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ne koristiti privatne cloud servise</w:t>
      </w:r>
    </w:p>
    <w:p w14:paraId="2B72B60F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Backup sustav služi kao zaštitna mjera oporavka podataka i ne smatra se službenim arhivom.</w:t>
      </w:r>
    </w:p>
    <w:p w14:paraId="6ABF1A24" w14:textId="532D094E" w:rsidR="00A12282" w:rsidRPr="00A12282" w:rsidRDefault="00A12282" w:rsidP="00A12282">
      <w:pPr>
        <w:jc w:val="both"/>
        <w:rPr>
          <w:rFonts w:ascii="Candara" w:hAnsi="Candara"/>
          <w:lang w:val="en-001"/>
        </w:rPr>
      </w:pPr>
    </w:p>
    <w:p w14:paraId="405AB5DD" w14:textId="77777777" w:rsidR="00A12282" w:rsidRPr="00A12282" w:rsidRDefault="00A12282" w:rsidP="00A12282">
      <w:pPr>
        <w:jc w:val="both"/>
        <w:rPr>
          <w:rFonts w:ascii="Candara" w:hAnsi="Candara"/>
          <w:b/>
          <w:bCs/>
          <w:lang w:val="en-001"/>
        </w:rPr>
      </w:pPr>
      <w:r w:rsidRPr="00A12282">
        <w:rPr>
          <w:rFonts w:ascii="Candara" w:hAnsi="Candara"/>
          <w:b/>
          <w:bCs/>
          <w:lang w:val="en-001"/>
        </w:rPr>
        <w:t>6. PLANIRANJE U IZVANREDNIM SITUACIJAMA</w:t>
      </w:r>
    </w:p>
    <w:p w14:paraId="77E7B1C6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Ključna dokumentacija potrebna za kontinuitet poslovanja mora biti:</w:t>
      </w:r>
    </w:p>
    <w:p w14:paraId="0E9BFC48" w14:textId="77777777" w:rsidR="00A12282" w:rsidRPr="00A12282" w:rsidRDefault="00A12282" w:rsidP="00A12282">
      <w:pPr>
        <w:numPr>
          <w:ilvl w:val="0"/>
          <w:numId w:val="17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sigurno pohranjena</w:t>
      </w:r>
    </w:p>
    <w:p w14:paraId="112A19AB" w14:textId="77777777" w:rsidR="00A12282" w:rsidRPr="00A12282" w:rsidRDefault="00A12282" w:rsidP="00A12282">
      <w:pPr>
        <w:numPr>
          <w:ilvl w:val="0"/>
          <w:numId w:val="17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zaštićena enkripcijom</w:t>
      </w:r>
    </w:p>
    <w:p w14:paraId="172781DA" w14:textId="77777777" w:rsidR="00A12282" w:rsidRPr="00A12282" w:rsidRDefault="00A12282" w:rsidP="00A12282">
      <w:pPr>
        <w:numPr>
          <w:ilvl w:val="0"/>
          <w:numId w:val="17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uključena u backup sustav</w:t>
      </w:r>
    </w:p>
    <w:p w14:paraId="61AD3BAB" w14:textId="455E0C64" w:rsidR="00A12282" w:rsidRPr="00A12282" w:rsidRDefault="00A12282" w:rsidP="00A12282">
      <w:pPr>
        <w:jc w:val="both"/>
        <w:rPr>
          <w:rFonts w:ascii="Candara" w:hAnsi="Candara"/>
          <w:lang w:val="en-001"/>
        </w:rPr>
      </w:pPr>
    </w:p>
    <w:p w14:paraId="4DD70728" w14:textId="77777777" w:rsidR="00A12282" w:rsidRPr="00A12282" w:rsidRDefault="00A12282" w:rsidP="00A12282">
      <w:pPr>
        <w:jc w:val="both"/>
        <w:rPr>
          <w:rFonts w:ascii="Candara" w:hAnsi="Candara"/>
          <w:b/>
          <w:bCs/>
          <w:lang w:val="en-001"/>
        </w:rPr>
      </w:pPr>
      <w:r w:rsidRPr="00A12282">
        <w:rPr>
          <w:rFonts w:ascii="Candara" w:hAnsi="Candara"/>
          <w:b/>
          <w:bCs/>
          <w:lang w:val="en-001"/>
        </w:rPr>
        <w:t>7. OBUSTAVA UNIŠTAVANJA (LITIGATION HOLD)</w:t>
      </w:r>
    </w:p>
    <w:p w14:paraId="3D76833D" w14:textId="399165E6" w:rsidR="00A12282" w:rsidRPr="00A12282" w:rsidRDefault="003D5A9E" w:rsidP="00A12282">
      <w:pPr>
        <w:jc w:val="both"/>
        <w:rPr>
          <w:rFonts w:ascii="Candara" w:hAnsi="Candara"/>
          <w:lang w:val="en-001"/>
        </w:rPr>
      </w:pPr>
      <w:r>
        <w:rPr>
          <w:rFonts w:ascii="Candara" w:hAnsi="Candara"/>
          <w:lang w:val="en-001"/>
        </w:rPr>
        <w:t>A</w:t>
      </w:r>
      <w:r w:rsidR="00A12282" w:rsidRPr="00A12282">
        <w:rPr>
          <w:rFonts w:ascii="Candara" w:hAnsi="Candara"/>
          <w:lang w:val="en-001"/>
        </w:rPr>
        <w:t>ko Društvo zaprimi:</w:t>
      </w:r>
    </w:p>
    <w:p w14:paraId="06959C0C" w14:textId="77777777" w:rsidR="00A12282" w:rsidRPr="00A12282" w:rsidRDefault="00A12282" w:rsidP="00A12282">
      <w:pPr>
        <w:numPr>
          <w:ilvl w:val="0"/>
          <w:numId w:val="18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sudski nalog</w:t>
      </w:r>
    </w:p>
    <w:p w14:paraId="34902684" w14:textId="77777777" w:rsidR="00A12282" w:rsidRPr="00A12282" w:rsidRDefault="00A12282" w:rsidP="00A12282">
      <w:pPr>
        <w:numPr>
          <w:ilvl w:val="0"/>
          <w:numId w:val="18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zahtjev nadzornog tijela</w:t>
      </w:r>
    </w:p>
    <w:p w14:paraId="19226B99" w14:textId="77777777" w:rsidR="00A12282" w:rsidRPr="00A12282" w:rsidRDefault="00A12282" w:rsidP="00A12282">
      <w:pPr>
        <w:numPr>
          <w:ilvl w:val="0"/>
          <w:numId w:val="18"/>
        </w:num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obavijest o pokretanju postupka</w:t>
      </w:r>
    </w:p>
    <w:p w14:paraId="3E750862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sva planirana uništavanja relevantne dokumentacije odmah se obustavljaju.</w:t>
      </w:r>
    </w:p>
    <w:p w14:paraId="1CF1E52E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</w:p>
    <w:p w14:paraId="06F1DA6D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Data Protection Coordinator u suradnji s pravnim savjetnikom odlučuje o daljnjem postupanju.</w:t>
      </w:r>
    </w:p>
    <w:p w14:paraId="6F56F9D2" w14:textId="77777777" w:rsidR="003D5A9E" w:rsidRDefault="003D5A9E" w:rsidP="00A12282">
      <w:pPr>
        <w:jc w:val="both"/>
        <w:rPr>
          <w:rFonts w:ascii="Candara" w:hAnsi="Candara"/>
          <w:lang w:val="en-001"/>
        </w:rPr>
      </w:pPr>
    </w:p>
    <w:p w14:paraId="69471669" w14:textId="36DDA02F" w:rsidR="00A12282" w:rsidRPr="00A12282" w:rsidRDefault="00A12282" w:rsidP="00A12282">
      <w:pPr>
        <w:jc w:val="both"/>
        <w:rPr>
          <w:rFonts w:ascii="Candara" w:hAnsi="Candara"/>
          <w:b/>
          <w:bCs/>
          <w:lang w:val="en-001"/>
        </w:rPr>
      </w:pPr>
      <w:r w:rsidRPr="00A12282">
        <w:rPr>
          <w:rFonts w:ascii="Candara" w:hAnsi="Candara"/>
          <w:b/>
          <w:bCs/>
          <w:lang w:val="en-001"/>
        </w:rPr>
        <w:t>8. ZAVRŠNE ODREDBE</w:t>
      </w:r>
    </w:p>
    <w:p w14:paraId="346956F0" w14:textId="2452A0CC" w:rsidR="00A12282" w:rsidRPr="00A12282" w:rsidRDefault="00A12282" w:rsidP="003D5A9E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Svi zaposlenici i suradnici dužni su postupati u skladu s ovom Politikom.</w:t>
      </w:r>
      <w:r w:rsidR="003D5A9E">
        <w:rPr>
          <w:rFonts w:ascii="Candara" w:hAnsi="Candara"/>
          <w:lang w:val="en-001"/>
        </w:rPr>
        <w:t xml:space="preserve"> </w:t>
      </w:r>
      <w:r w:rsidRPr="00A12282">
        <w:rPr>
          <w:rFonts w:ascii="Candara" w:hAnsi="Candara"/>
          <w:lang w:val="en-001"/>
        </w:rPr>
        <w:t>Ova Politika stupa na snagu danom donošenja.</w:t>
      </w:r>
    </w:p>
    <w:p w14:paraId="48390642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</w:p>
    <w:p w14:paraId="4EB20058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Za COOPERANTE d.o.o.</w:t>
      </w:r>
    </w:p>
    <w:p w14:paraId="1DC41F2A" w14:textId="77777777" w:rsidR="00A12282" w:rsidRPr="00A12282" w:rsidRDefault="00A12282" w:rsidP="00A12282">
      <w:pPr>
        <w:jc w:val="both"/>
        <w:rPr>
          <w:rFonts w:ascii="Candara" w:hAnsi="Candara"/>
          <w:lang w:val="en-001"/>
        </w:rPr>
      </w:pPr>
      <w:r w:rsidRPr="00A12282">
        <w:rPr>
          <w:rFonts w:ascii="Candara" w:hAnsi="Candara"/>
          <w:lang w:val="en-001"/>
        </w:rPr>
        <w:t>Direktor</w:t>
      </w:r>
    </w:p>
    <w:p w14:paraId="10D2F63E" w14:textId="23C22143" w:rsidR="00A12282" w:rsidRPr="00A12282" w:rsidRDefault="00A12282" w:rsidP="00A12282">
      <w:pPr>
        <w:jc w:val="both"/>
        <w:rPr>
          <w:rFonts w:ascii="Candara" w:hAnsi="Candara"/>
          <w:lang w:val="en-001"/>
        </w:rPr>
      </w:pPr>
    </w:p>
    <w:p w14:paraId="37C25DDC" w14:textId="3125EE90" w:rsidR="00A12282" w:rsidRPr="00A12282" w:rsidRDefault="00A12282" w:rsidP="00C41981">
      <w:pPr>
        <w:jc w:val="both"/>
        <w:rPr>
          <w:rFonts w:ascii="Candara" w:hAnsi="Candara"/>
          <w:b/>
          <w:bCs/>
          <w:lang w:val="en-001"/>
        </w:rPr>
      </w:pPr>
      <w:r w:rsidRPr="00A12282">
        <w:rPr>
          <w:rFonts w:ascii="Candara" w:hAnsi="Candara"/>
          <w:b/>
          <w:bCs/>
          <w:lang w:val="en-001"/>
        </w:rPr>
        <w:t>PRILOG A</w:t>
      </w:r>
    </w:p>
    <w:p w14:paraId="369789FA" w14:textId="77777777" w:rsidR="00A12282" w:rsidRPr="00A12282" w:rsidRDefault="00A12282" w:rsidP="00A12282">
      <w:pPr>
        <w:jc w:val="both"/>
        <w:rPr>
          <w:rFonts w:ascii="Candara" w:hAnsi="Candara"/>
          <w:b/>
          <w:bCs/>
          <w:lang w:val="en-001"/>
        </w:rPr>
      </w:pPr>
      <w:r w:rsidRPr="00A12282">
        <w:rPr>
          <w:rFonts w:ascii="Candara" w:hAnsi="Candara"/>
          <w:b/>
          <w:bCs/>
          <w:lang w:val="en-001"/>
        </w:rPr>
        <w:t>TABLICA ROKOVA ČUVANJA DOKUMENTACIJE (prilagođeno Cooperante)</w:t>
      </w:r>
    </w:p>
    <w:tbl>
      <w:tblPr>
        <w:tblStyle w:val="GridTable2-Accent2"/>
        <w:tblW w:w="0" w:type="auto"/>
        <w:tblLook w:val="04A0" w:firstRow="1" w:lastRow="0" w:firstColumn="1" w:lastColumn="0" w:noHBand="0" w:noVBand="1"/>
      </w:tblPr>
      <w:tblGrid>
        <w:gridCol w:w="4001"/>
        <w:gridCol w:w="4197"/>
      </w:tblGrid>
      <w:tr w:rsidR="00A12282" w:rsidRPr="00A12282" w14:paraId="27FE6C11" w14:textId="77777777" w:rsidTr="008948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95197A" w14:textId="77777777" w:rsidR="00A12282" w:rsidRPr="00A12282" w:rsidRDefault="00A12282" w:rsidP="00A12282">
            <w:pPr>
              <w:jc w:val="both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Vrsta dokumentacije</w:t>
            </w:r>
          </w:p>
        </w:tc>
        <w:tc>
          <w:tcPr>
            <w:tcW w:w="0" w:type="auto"/>
            <w:hideMark/>
          </w:tcPr>
          <w:p w14:paraId="68FF5F78" w14:textId="77777777" w:rsidR="00A12282" w:rsidRPr="00A12282" w:rsidRDefault="00A12282" w:rsidP="00A1228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Rok čuvanja</w:t>
            </w:r>
          </w:p>
        </w:tc>
      </w:tr>
      <w:tr w:rsidR="00A12282" w:rsidRPr="00A12282" w14:paraId="4AD2C2E4" w14:textId="77777777" w:rsidTr="008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848A1C" w14:textId="77777777" w:rsidR="00A12282" w:rsidRPr="00A12282" w:rsidRDefault="00A12282" w:rsidP="00A12282">
            <w:pPr>
              <w:jc w:val="both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Društveni akti</w:t>
            </w:r>
          </w:p>
        </w:tc>
        <w:tc>
          <w:tcPr>
            <w:tcW w:w="0" w:type="auto"/>
            <w:hideMark/>
          </w:tcPr>
          <w:p w14:paraId="05B34E62" w14:textId="77777777" w:rsidR="00A12282" w:rsidRPr="00A12282" w:rsidRDefault="00A12282" w:rsidP="00A12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Trajno</w:t>
            </w:r>
          </w:p>
        </w:tc>
      </w:tr>
      <w:tr w:rsidR="00A12282" w:rsidRPr="00A12282" w14:paraId="186B838E" w14:textId="77777777" w:rsidTr="00894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8B9500" w14:textId="77777777" w:rsidR="00A12282" w:rsidRPr="00A12282" w:rsidRDefault="00A12282" w:rsidP="00A12282">
            <w:pPr>
              <w:jc w:val="both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Ugovori s klijentima</w:t>
            </w:r>
          </w:p>
        </w:tc>
        <w:tc>
          <w:tcPr>
            <w:tcW w:w="0" w:type="auto"/>
            <w:hideMark/>
          </w:tcPr>
          <w:p w14:paraId="0FDFD142" w14:textId="77777777" w:rsidR="00A12282" w:rsidRPr="00A12282" w:rsidRDefault="00A12282" w:rsidP="00A12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5 godina nakon prestanka</w:t>
            </w:r>
          </w:p>
        </w:tc>
      </w:tr>
      <w:tr w:rsidR="00A12282" w:rsidRPr="00A12282" w14:paraId="43C9AF82" w14:textId="77777777" w:rsidTr="008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A2A95D" w14:textId="77777777" w:rsidR="00A12282" w:rsidRPr="00A12282" w:rsidRDefault="00A12282" w:rsidP="00A12282">
            <w:pPr>
              <w:jc w:val="both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Ugovori o radu</w:t>
            </w:r>
          </w:p>
        </w:tc>
        <w:tc>
          <w:tcPr>
            <w:tcW w:w="0" w:type="auto"/>
            <w:hideMark/>
          </w:tcPr>
          <w:p w14:paraId="4E483943" w14:textId="77777777" w:rsidR="00A12282" w:rsidRPr="00A12282" w:rsidRDefault="00A12282" w:rsidP="00A12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10 godina nakon prestanka</w:t>
            </w:r>
          </w:p>
        </w:tc>
      </w:tr>
      <w:tr w:rsidR="00A12282" w:rsidRPr="00A12282" w14:paraId="688885EC" w14:textId="77777777" w:rsidTr="00894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5EE4D8" w14:textId="77777777" w:rsidR="00A12282" w:rsidRPr="00A12282" w:rsidRDefault="00A12282" w:rsidP="00A12282">
            <w:pPr>
              <w:jc w:val="both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Evidencije kandidata (neodabrani)</w:t>
            </w:r>
          </w:p>
        </w:tc>
        <w:tc>
          <w:tcPr>
            <w:tcW w:w="0" w:type="auto"/>
            <w:hideMark/>
          </w:tcPr>
          <w:p w14:paraId="727E0B68" w14:textId="77777777" w:rsidR="00A12282" w:rsidRPr="00A12282" w:rsidRDefault="00A12282" w:rsidP="00A12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6 mjeseci – 2 godine (ovisno o privoli)</w:t>
            </w:r>
          </w:p>
        </w:tc>
      </w:tr>
      <w:tr w:rsidR="00A12282" w:rsidRPr="00A12282" w14:paraId="1A060BC5" w14:textId="77777777" w:rsidTr="008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869336" w14:textId="77777777" w:rsidR="00A12282" w:rsidRPr="00A12282" w:rsidRDefault="00A12282" w:rsidP="00A12282">
            <w:pPr>
              <w:jc w:val="both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Evidencije ustupljenih radnika</w:t>
            </w:r>
          </w:p>
        </w:tc>
        <w:tc>
          <w:tcPr>
            <w:tcW w:w="0" w:type="auto"/>
            <w:hideMark/>
          </w:tcPr>
          <w:p w14:paraId="3DCA6EB6" w14:textId="77777777" w:rsidR="00A12282" w:rsidRPr="00A12282" w:rsidRDefault="00A12282" w:rsidP="00A12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10 godina</w:t>
            </w:r>
          </w:p>
        </w:tc>
      </w:tr>
      <w:tr w:rsidR="00A12282" w:rsidRPr="00A12282" w14:paraId="6DD775E2" w14:textId="77777777" w:rsidTr="00894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FE3B43" w14:textId="77777777" w:rsidR="00A12282" w:rsidRPr="00A12282" w:rsidRDefault="00A12282" w:rsidP="00A12282">
            <w:pPr>
              <w:jc w:val="both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Dokumentacija o plaćama</w:t>
            </w:r>
          </w:p>
        </w:tc>
        <w:tc>
          <w:tcPr>
            <w:tcW w:w="0" w:type="auto"/>
            <w:hideMark/>
          </w:tcPr>
          <w:p w14:paraId="58346A1B" w14:textId="77777777" w:rsidR="00A12282" w:rsidRPr="00A12282" w:rsidRDefault="00A12282" w:rsidP="00A12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11 godina (zakonski rok)</w:t>
            </w:r>
          </w:p>
        </w:tc>
      </w:tr>
      <w:tr w:rsidR="00A12282" w:rsidRPr="00A12282" w14:paraId="6CD17871" w14:textId="77777777" w:rsidTr="008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D24467" w14:textId="77777777" w:rsidR="00A12282" w:rsidRPr="00A12282" w:rsidRDefault="00A12282" w:rsidP="00A12282">
            <w:pPr>
              <w:jc w:val="both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E-mail poslovna komunikacija</w:t>
            </w:r>
          </w:p>
        </w:tc>
        <w:tc>
          <w:tcPr>
            <w:tcW w:w="0" w:type="auto"/>
            <w:hideMark/>
          </w:tcPr>
          <w:p w14:paraId="06971371" w14:textId="77777777" w:rsidR="00A12282" w:rsidRPr="00A12282" w:rsidRDefault="00A12282" w:rsidP="00A12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3 godine</w:t>
            </w:r>
          </w:p>
        </w:tc>
      </w:tr>
      <w:tr w:rsidR="00A12282" w:rsidRPr="00A12282" w14:paraId="6803F501" w14:textId="77777777" w:rsidTr="00894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066F34" w14:textId="77777777" w:rsidR="00A12282" w:rsidRPr="00A12282" w:rsidRDefault="00A12282" w:rsidP="00A12282">
            <w:pPr>
              <w:jc w:val="both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Opća korespondencija</w:t>
            </w:r>
          </w:p>
        </w:tc>
        <w:tc>
          <w:tcPr>
            <w:tcW w:w="0" w:type="auto"/>
            <w:hideMark/>
          </w:tcPr>
          <w:p w14:paraId="00E4E3CE" w14:textId="77777777" w:rsidR="00A12282" w:rsidRPr="00A12282" w:rsidRDefault="00A12282" w:rsidP="00A12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3 godine</w:t>
            </w:r>
          </w:p>
        </w:tc>
      </w:tr>
      <w:tr w:rsidR="00A12282" w:rsidRPr="00A12282" w14:paraId="7666CF7F" w14:textId="77777777" w:rsidTr="008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DB16C8" w14:textId="77777777" w:rsidR="00A12282" w:rsidRPr="00A12282" w:rsidRDefault="00A12282" w:rsidP="00A12282">
            <w:pPr>
              <w:jc w:val="both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Računi i knjigovodstvena dokumentacija</w:t>
            </w:r>
          </w:p>
        </w:tc>
        <w:tc>
          <w:tcPr>
            <w:tcW w:w="0" w:type="auto"/>
            <w:hideMark/>
          </w:tcPr>
          <w:p w14:paraId="4205DFC8" w14:textId="77777777" w:rsidR="00A12282" w:rsidRPr="00A12282" w:rsidRDefault="00A12282" w:rsidP="00A12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11 godina (sukladno poreznim propisima)</w:t>
            </w:r>
          </w:p>
        </w:tc>
      </w:tr>
      <w:tr w:rsidR="00A12282" w:rsidRPr="00A12282" w14:paraId="60CE8EDC" w14:textId="77777777" w:rsidTr="00894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334527" w14:textId="77777777" w:rsidR="00A12282" w:rsidRPr="00A12282" w:rsidRDefault="00A12282" w:rsidP="00A12282">
            <w:pPr>
              <w:jc w:val="both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Sigurnosni logovi</w:t>
            </w:r>
          </w:p>
        </w:tc>
        <w:tc>
          <w:tcPr>
            <w:tcW w:w="0" w:type="auto"/>
            <w:hideMark/>
          </w:tcPr>
          <w:p w14:paraId="06F0D957" w14:textId="77777777" w:rsidR="00A12282" w:rsidRPr="00A12282" w:rsidRDefault="00A12282" w:rsidP="00A12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12 mjeseci</w:t>
            </w:r>
          </w:p>
        </w:tc>
      </w:tr>
      <w:tr w:rsidR="00A12282" w:rsidRPr="00A12282" w14:paraId="71D4054A" w14:textId="77777777" w:rsidTr="008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4B66DC" w14:textId="77777777" w:rsidR="00A12282" w:rsidRPr="00A12282" w:rsidRDefault="00A12282" w:rsidP="00A12282">
            <w:pPr>
              <w:jc w:val="both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Incident dokumentacija</w:t>
            </w:r>
          </w:p>
        </w:tc>
        <w:tc>
          <w:tcPr>
            <w:tcW w:w="0" w:type="auto"/>
            <w:hideMark/>
          </w:tcPr>
          <w:p w14:paraId="3AB5F710" w14:textId="77777777" w:rsidR="00A12282" w:rsidRPr="00A12282" w:rsidRDefault="00A12282" w:rsidP="00A12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3 godine</w:t>
            </w:r>
          </w:p>
        </w:tc>
      </w:tr>
      <w:tr w:rsidR="00A12282" w:rsidRPr="00A12282" w14:paraId="6B1D15BA" w14:textId="77777777" w:rsidTr="008948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DBD7F9" w14:textId="77777777" w:rsidR="00A12282" w:rsidRPr="00A12282" w:rsidRDefault="00A12282" w:rsidP="00A12282">
            <w:pPr>
              <w:jc w:val="both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Privole</w:t>
            </w:r>
          </w:p>
        </w:tc>
        <w:tc>
          <w:tcPr>
            <w:tcW w:w="0" w:type="auto"/>
            <w:hideMark/>
          </w:tcPr>
          <w:p w14:paraId="25F96179" w14:textId="77777777" w:rsidR="00A12282" w:rsidRPr="00A12282" w:rsidRDefault="00A12282" w:rsidP="00A1228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3 godine nakon povlačenja ili isteka svrhe</w:t>
            </w:r>
          </w:p>
        </w:tc>
      </w:tr>
      <w:tr w:rsidR="00A12282" w:rsidRPr="00A12282" w14:paraId="1AC018B1" w14:textId="77777777" w:rsidTr="00894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D7784E" w14:textId="77777777" w:rsidR="00A12282" w:rsidRPr="00A12282" w:rsidRDefault="00A12282" w:rsidP="00A12282">
            <w:pPr>
              <w:jc w:val="both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Backup kopije</w:t>
            </w:r>
          </w:p>
        </w:tc>
        <w:tc>
          <w:tcPr>
            <w:tcW w:w="0" w:type="auto"/>
            <w:hideMark/>
          </w:tcPr>
          <w:p w14:paraId="462F2C37" w14:textId="77777777" w:rsidR="00A12282" w:rsidRPr="00A12282" w:rsidRDefault="00A12282" w:rsidP="00A122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/>
                <w:sz w:val="22"/>
                <w:szCs w:val="22"/>
                <w:lang w:val="en-001"/>
              </w:rPr>
            </w:pPr>
            <w:r w:rsidRPr="00A12282">
              <w:rPr>
                <w:rFonts w:ascii="Candara" w:hAnsi="Candara"/>
                <w:sz w:val="22"/>
                <w:szCs w:val="22"/>
                <w:lang w:val="en-001"/>
              </w:rPr>
              <w:t>12 mjeseci (osim ako zakon ne nalaže dulje)</w:t>
            </w:r>
          </w:p>
        </w:tc>
      </w:tr>
    </w:tbl>
    <w:p w14:paraId="1AE99172" w14:textId="77777777" w:rsidR="00A12282" w:rsidRPr="00894842" w:rsidRDefault="00A12282" w:rsidP="002F00C0">
      <w:pPr>
        <w:jc w:val="both"/>
        <w:rPr>
          <w:rFonts w:ascii="Candara" w:hAnsi="Candara"/>
          <w:lang w:val="en-001"/>
        </w:rPr>
      </w:pPr>
    </w:p>
    <w:sectPr w:rsidR="00A12282" w:rsidRPr="00894842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71D9B" w14:textId="77777777" w:rsidR="00297621" w:rsidRDefault="00297621" w:rsidP="007811BD">
      <w:r>
        <w:separator/>
      </w:r>
    </w:p>
  </w:endnote>
  <w:endnote w:type="continuationSeparator" w:id="0">
    <w:p w14:paraId="7C6942E7" w14:textId="77777777" w:rsidR="00297621" w:rsidRDefault="00297621" w:rsidP="0078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2FFB" w14:textId="77777777" w:rsidR="00297621" w:rsidRDefault="00297621" w:rsidP="007811BD">
      <w:r>
        <w:separator/>
      </w:r>
    </w:p>
  </w:footnote>
  <w:footnote w:type="continuationSeparator" w:id="0">
    <w:p w14:paraId="35CE5727" w14:textId="77777777" w:rsidR="00297621" w:rsidRDefault="00297621" w:rsidP="0078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0DF5" w14:textId="3645C393" w:rsidR="007811BD" w:rsidRDefault="007811BD">
    <w:pPr>
      <w:pStyle w:val="Header"/>
    </w:pPr>
    <w:r>
      <w:rPr>
        <w:noProof/>
      </w:rPr>
      <w:drawing>
        <wp:inline distT="0" distB="0" distL="0" distR="0" wp14:anchorId="2D6CB7DE" wp14:editId="3ED694D8">
          <wp:extent cx="3274701" cy="309383"/>
          <wp:effectExtent l="0" t="0" r="1905" b="0"/>
          <wp:docPr id="2137050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71893" name="Graphic 123367189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8815" cy="371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9F65A8D"/>
    <w:multiLevelType w:val="multilevel"/>
    <w:tmpl w:val="2BA4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5573F"/>
    <w:multiLevelType w:val="multilevel"/>
    <w:tmpl w:val="A6B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502BA"/>
    <w:multiLevelType w:val="multilevel"/>
    <w:tmpl w:val="B50A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001BE"/>
    <w:multiLevelType w:val="multilevel"/>
    <w:tmpl w:val="FFA8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37CAC"/>
    <w:multiLevelType w:val="multilevel"/>
    <w:tmpl w:val="27A40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66AA1"/>
    <w:multiLevelType w:val="multilevel"/>
    <w:tmpl w:val="F7CE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6605F9"/>
    <w:multiLevelType w:val="multilevel"/>
    <w:tmpl w:val="962A4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82280"/>
    <w:multiLevelType w:val="multilevel"/>
    <w:tmpl w:val="6C8E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A21A76"/>
    <w:multiLevelType w:val="multilevel"/>
    <w:tmpl w:val="A766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3123B"/>
    <w:multiLevelType w:val="multilevel"/>
    <w:tmpl w:val="112C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065754"/>
    <w:multiLevelType w:val="multilevel"/>
    <w:tmpl w:val="FA1A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340170"/>
    <w:multiLevelType w:val="multilevel"/>
    <w:tmpl w:val="896C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C11B84"/>
    <w:multiLevelType w:val="multilevel"/>
    <w:tmpl w:val="BD2E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AE0371"/>
    <w:multiLevelType w:val="multilevel"/>
    <w:tmpl w:val="525A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9059D0"/>
    <w:multiLevelType w:val="multilevel"/>
    <w:tmpl w:val="8768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C629B9"/>
    <w:multiLevelType w:val="multilevel"/>
    <w:tmpl w:val="C61C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221321"/>
    <w:multiLevelType w:val="multilevel"/>
    <w:tmpl w:val="1CB2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69605">
    <w:abstractNumId w:val="0"/>
  </w:num>
  <w:num w:numId="2" w16cid:durableId="138808129">
    <w:abstractNumId w:val="0"/>
  </w:num>
  <w:num w:numId="3" w16cid:durableId="240796947">
    <w:abstractNumId w:val="12"/>
  </w:num>
  <w:num w:numId="4" w16cid:durableId="882330219">
    <w:abstractNumId w:val="8"/>
  </w:num>
  <w:num w:numId="5" w16cid:durableId="1751541871">
    <w:abstractNumId w:val="9"/>
  </w:num>
  <w:num w:numId="6" w16cid:durableId="2086031341">
    <w:abstractNumId w:val="5"/>
  </w:num>
  <w:num w:numId="7" w16cid:durableId="1837570412">
    <w:abstractNumId w:val="1"/>
  </w:num>
  <w:num w:numId="8" w16cid:durableId="1868643072">
    <w:abstractNumId w:val="16"/>
  </w:num>
  <w:num w:numId="9" w16cid:durableId="1910723767">
    <w:abstractNumId w:val="3"/>
  </w:num>
  <w:num w:numId="10" w16cid:durableId="1797064431">
    <w:abstractNumId w:val="11"/>
  </w:num>
  <w:num w:numId="11" w16cid:durableId="625307759">
    <w:abstractNumId w:val="6"/>
  </w:num>
  <w:num w:numId="12" w16cid:durableId="656811120">
    <w:abstractNumId w:val="2"/>
  </w:num>
  <w:num w:numId="13" w16cid:durableId="1333223329">
    <w:abstractNumId w:val="7"/>
  </w:num>
  <w:num w:numId="14" w16cid:durableId="1504784554">
    <w:abstractNumId w:val="17"/>
  </w:num>
  <w:num w:numId="15" w16cid:durableId="1666081909">
    <w:abstractNumId w:val="4"/>
  </w:num>
  <w:num w:numId="16" w16cid:durableId="1457674688">
    <w:abstractNumId w:val="10"/>
  </w:num>
  <w:num w:numId="17" w16cid:durableId="1830750626">
    <w:abstractNumId w:val="14"/>
  </w:num>
  <w:num w:numId="18" w16cid:durableId="933393248">
    <w:abstractNumId w:val="13"/>
  </w:num>
  <w:num w:numId="19" w16cid:durableId="292369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C0"/>
    <w:rsid w:val="00067C58"/>
    <w:rsid w:val="001F6FCF"/>
    <w:rsid w:val="00297621"/>
    <w:rsid w:val="002F00C0"/>
    <w:rsid w:val="003D5A9E"/>
    <w:rsid w:val="00461232"/>
    <w:rsid w:val="00523251"/>
    <w:rsid w:val="0054623F"/>
    <w:rsid w:val="00616ACE"/>
    <w:rsid w:val="00684120"/>
    <w:rsid w:val="006C1CAA"/>
    <w:rsid w:val="007811BD"/>
    <w:rsid w:val="00823654"/>
    <w:rsid w:val="00894842"/>
    <w:rsid w:val="009C0D0E"/>
    <w:rsid w:val="009F3C87"/>
    <w:rsid w:val="00A12282"/>
    <w:rsid w:val="00C41981"/>
    <w:rsid w:val="00C67CFF"/>
    <w:rsid w:val="00E47AFB"/>
    <w:rsid w:val="00EC66FA"/>
    <w:rsid w:val="00F31BC2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4730F"/>
  <w15:chartTrackingRefBased/>
  <w15:docId w15:val="{788C49FB-AF42-FA48-96C4-6ED17BF3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ACE"/>
    <w:pPr>
      <w:keepNext/>
      <w:keepLines/>
      <w:spacing w:before="240"/>
      <w:outlineLvl w:val="0"/>
    </w:pPr>
    <w:rPr>
      <w:rFonts w:ascii="Candara" w:eastAsiaTheme="majorEastAsia" w:hAnsi="Candara" w:cstheme="majorBidi"/>
      <w:b/>
      <w:color w:val="0F4761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251"/>
    <w:pPr>
      <w:keepNext/>
      <w:keepLines/>
      <w:spacing w:before="160" w:after="80"/>
      <w:outlineLvl w:val="1"/>
    </w:pPr>
    <w:rPr>
      <w:rFonts w:ascii="Candara" w:eastAsiaTheme="majorEastAsia" w:hAnsi="Candara" w:cstheme="majorBidi"/>
      <w:color w:val="0F4761" w:themeColor="accent1" w:themeShade="B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251"/>
    <w:pPr>
      <w:keepNext/>
      <w:keepLines/>
      <w:spacing w:before="240" w:after="120"/>
      <w:outlineLvl w:val="2"/>
    </w:pPr>
    <w:rPr>
      <w:rFonts w:ascii="Candara" w:eastAsiaTheme="majorEastAsia" w:hAnsi="Candara" w:cstheme="majorBidi"/>
      <w:smallCap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after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0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0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0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0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54623F"/>
    <w:pPr>
      <w:jc w:val="both"/>
    </w:pPr>
    <w:rPr>
      <w:rFonts w:ascii="Candara" w:eastAsia="Times New Roman" w:hAnsi="Candara" w:cs="Times New Roma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4623F"/>
    <w:rPr>
      <w:rFonts w:ascii="Candara" w:eastAsia="Times New Roman" w:hAnsi="Candara" w:cs="Times New Roman"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616ACE"/>
    <w:rPr>
      <w:rFonts w:ascii="Candara" w:eastAsiaTheme="majorEastAsia" w:hAnsi="Candara" w:cstheme="majorBidi"/>
      <w:b/>
      <w:color w:val="0F4761" w:themeColor="accent1" w:themeShade="BF"/>
      <w:sz w:val="28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523251"/>
    <w:rPr>
      <w:rFonts w:ascii="Candara" w:eastAsiaTheme="majorEastAsia" w:hAnsi="Candara" w:cstheme="majorBidi"/>
      <w:color w:val="0F4761" w:themeColor="accent1" w:themeShade="BF"/>
      <w:sz w:val="28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523251"/>
    <w:rPr>
      <w:rFonts w:ascii="Candara" w:eastAsiaTheme="majorEastAsia" w:hAnsi="Candara" w:cstheme="majorBidi"/>
      <w:smallCaps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0C0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0C0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0C0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0C0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0C0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2F00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0C0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0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0C0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2F00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0C0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2F00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0C0"/>
    <w:rPr>
      <w:b/>
      <w:bCs/>
      <w:smallCaps/>
      <w:color w:val="0F4761" w:themeColor="accent1" w:themeShade="BF"/>
      <w:spacing w:val="5"/>
    </w:rPr>
  </w:style>
  <w:style w:type="table" w:styleId="GridTable5Dark-Accent4">
    <w:name w:val="Grid Table 5 Dark Accent 4"/>
    <w:basedOn w:val="TableNormal"/>
    <w:uiPriority w:val="50"/>
    <w:rsid w:val="001F6F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2-Accent2">
    <w:name w:val="Grid Table 2 Accent 2"/>
    <w:basedOn w:val="TableNormal"/>
    <w:uiPriority w:val="47"/>
    <w:rsid w:val="00894842"/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781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1BD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781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1BD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4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566</Words>
  <Characters>3787</Characters>
  <Application>Microsoft Office Word</Application>
  <DocSecurity>0</DocSecurity>
  <Lines>199</Lines>
  <Paragraphs>155</Paragraphs>
  <ScaleCrop>false</ScaleCrop>
  <Company>NEOS d.o.o.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10</cp:revision>
  <dcterms:created xsi:type="dcterms:W3CDTF">2024-10-09T12:20:00Z</dcterms:created>
  <dcterms:modified xsi:type="dcterms:W3CDTF">2026-03-02T21:57:00Z</dcterms:modified>
</cp:coreProperties>
</file>